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0" w:type="dxa"/>
        <w:tblCellMar>
          <w:left w:w="0" w:type="dxa"/>
          <w:right w:w="0" w:type="dxa"/>
        </w:tblCellMar>
        <w:tblLook w:val="04A0" w:firstRow="1" w:lastRow="0" w:firstColumn="1" w:lastColumn="0" w:noHBand="0" w:noVBand="1"/>
      </w:tblPr>
      <w:tblGrid>
        <w:gridCol w:w="1843"/>
        <w:gridCol w:w="8222"/>
      </w:tblGrid>
      <w:tr w:rsidR="00AE430D" w:rsidRPr="006E2E2C" w14:paraId="4E09F54C" w14:textId="77777777" w:rsidTr="000B4420">
        <w:trPr>
          <w:trHeight w:val="773"/>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3A0F21" w14:textId="77777777" w:rsidR="00AE430D" w:rsidRPr="006E2E2C" w:rsidRDefault="00AE430D" w:rsidP="006E01EB">
            <w:pPr>
              <w:ind w:left="-284"/>
              <w:jc w:val="center"/>
              <w:rPr>
                <w:rFonts w:ascii="Calibri" w:eastAsia="Calibri" w:hAnsi="Calibri" w:cs="Calibri"/>
                <w:b/>
                <w:bCs/>
                <w:u w:val="single"/>
              </w:rPr>
            </w:pPr>
            <w:bookmarkStart w:id="0" w:name="_Hlk85622133"/>
            <w:bookmarkStart w:id="1" w:name="_Hlk90374779"/>
            <w:r w:rsidRPr="006E2E2C">
              <w:rPr>
                <w:rFonts w:ascii="Calibri" w:eastAsia="Calibri" w:hAnsi="Calibri" w:cs="Calibri"/>
                <w:b/>
                <w:bCs/>
                <w:noProof/>
                <w:u w:val="single"/>
                <w:lang w:eastAsia="en-GB"/>
              </w:rPr>
              <w:drawing>
                <wp:inline distT="0" distB="0" distL="0" distR="0" wp14:anchorId="2039187E" wp14:editId="496D5E8F">
                  <wp:extent cx="1168079" cy="776179"/>
                  <wp:effectExtent l="0" t="0" r="0" b="5080"/>
                  <wp:docPr id="3" name="Picture 3" descr="\\wsc-usstaff\Resources\Branding &amp; Marketing\Logos\Better Never Sto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usstaff\Resources\Branding &amp; Marketing\Logos\Better Never Stop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7473" cy="809001"/>
                          </a:xfrm>
                          <a:prstGeom prst="rect">
                            <a:avLst/>
                          </a:prstGeom>
                          <a:noFill/>
                          <a:ln>
                            <a:noFill/>
                          </a:ln>
                        </pic:spPr>
                      </pic:pic>
                    </a:graphicData>
                  </a:graphic>
                </wp:inline>
              </w:drawing>
            </w:r>
          </w:p>
        </w:tc>
        <w:tc>
          <w:tcPr>
            <w:tcW w:w="8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6324C0" w14:textId="77777777" w:rsidR="00AE430D" w:rsidRDefault="00AE430D" w:rsidP="006E01EB">
            <w:pPr>
              <w:ind w:left="-284"/>
              <w:jc w:val="center"/>
              <w:rPr>
                <w:rFonts w:ascii="Calibri" w:hAnsi="Calibri" w:cs="Calibri"/>
                <w:b/>
                <w:sz w:val="32"/>
                <w:szCs w:val="28"/>
              </w:rPr>
            </w:pPr>
            <w:r>
              <w:rPr>
                <w:rFonts w:ascii="Calibri" w:hAnsi="Calibri" w:cs="Calibri"/>
                <w:b/>
                <w:sz w:val="32"/>
                <w:szCs w:val="28"/>
              </w:rPr>
              <w:t xml:space="preserve">Consultation on proposed Admission Arrangements </w:t>
            </w:r>
          </w:p>
          <w:p w14:paraId="28EA079F" w14:textId="77777777" w:rsidR="000B4420" w:rsidRDefault="000B4420" w:rsidP="006E01EB">
            <w:pPr>
              <w:ind w:left="-284"/>
              <w:jc w:val="center"/>
              <w:rPr>
                <w:rFonts w:ascii="Calibri" w:hAnsi="Calibri" w:cs="Calibri"/>
                <w:b/>
                <w:sz w:val="32"/>
                <w:szCs w:val="28"/>
              </w:rPr>
            </w:pPr>
            <w:r>
              <w:rPr>
                <w:rFonts w:ascii="Calibri" w:hAnsi="Calibri" w:cs="Calibri"/>
                <w:b/>
                <w:sz w:val="32"/>
                <w:szCs w:val="28"/>
              </w:rPr>
              <w:t>at</w:t>
            </w:r>
            <w:r w:rsidR="00AE430D">
              <w:rPr>
                <w:rFonts w:ascii="Calibri" w:hAnsi="Calibri" w:cs="Calibri"/>
                <w:b/>
                <w:sz w:val="32"/>
                <w:szCs w:val="28"/>
              </w:rPr>
              <w:t xml:space="preserve"> Waingels for</w:t>
            </w:r>
            <w:r>
              <w:rPr>
                <w:rFonts w:ascii="Calibri" w:hAnsi="Calibri" w:cs="Calibri"/>
                <w:b/>
                <w:sz w:val="32"/>
                <w:szCs w:val="28"/>
              </w:rPr>
              <w:t>:</w:t>
            </w:r>
          </w:p>
          <w:p w14:paraId="4B98A688" w14:textId="769B9020" w:rsidR="000B4420" w:rsidRDefault="00AE430D" w:rsidP="000B4420">
            <w:pPr>
              <w:ind w:left="-284"/>
              <w:jc w:val="center"/>
              <w:rPr>
                <w:rFonts w:ascii="Calibri" w:hAnsi="Calibri" w:cs="Calibri"/>
                <w:b/>
                <w:sz w:val="32"/>
                <w:szCs w:val="28"/>
              </w:rPr>
            </w:pPr>
            <w:r>
              <w:rPr>
                <w:rFonts w:ascii="Calibri" w:hAnsi="Calibri" w:cs="Calibri"/>
                <w:b/>
                <w:sz w:val="32"/>
                <w:szCs w:val="28"/>
              </w:rPr>
              <w:t xml:space="preserve"> </w:t>
            </w:r>
            <w:r w:rsidR="000B4420">
              <w:rPr>
                <w:rFonts w:ascii="Calibri" w:hAnsi="Calibri" w:cs="Calibri"/>
                <w:b/>
                <w:sz w:val="32"/>
                <w:szCs w:val="28"/>
              </w:rPr>
              <w:t xml:space="preserve"> </w:t>
            </w:r>
            <w:r w:rsidR="00CD6EFA">
              <w:rPr>
                <w:rFonts w:ascii="Calibri" w:hAnsi="Calibri" w:cs="Calibri"/>
                <w:b/>
                <w:sz w:val="32"/>
                <w:szCs w:val="28"/>
              </w:rPr>
              <w:t xml:space="preserve">In-Year Admissions </w:t>
            </w:r>
            <w:r w:rsidR="000B4420">
              <w:rPr>
                <w:rFonts w:ascii="Calibri" w:hAnsi="Calibri" w:cs="Calibri"/>
                <w:b/>
                <w:sz w:val="32"/>
                <w:szCs w:val="28"/>
              </w:rPr>
              <w:t>for</w:t>
            </w:r>
            <w:r w:rsidR="00CD6EFA">
              <w:rPr>
                <w:rFonts w:ascii="Calibri" w:hAnsi="Calibri" w:cs="Calibri"/>
                <w:b/>
                <w:sz w:val="32"/>
                <w:szCs w:val="28"/>
              </w:rPr>
              <w:t xml:space="preserve"> </w:t>
            </w:r>
            <w:r>
              <w:rPr>
                <w:rFonts w:ascii="Calibri" w:hAnsi="Calibri" w:cs="Calibri"/>
                <w:b/>
                <w:sz w:val="32"/>
                <w:szCs w:val="28"/>
              </w:rPr>
              <w:t>Year</w:t>
            </w:r>
            <w:r w:rsidR="00CD6EFA">
              <w:rPr>
                <w:rFonts w:ascii="Calibri" w:hAnsi="Calibri" w:cs="Calibri"/>
                <w:b/>
                <w:sz w:val="32"/>
                <w:szCs w:val="28"/>
              </w:rPr>
              <w:t>s</w:t>
            </w:r>
            <w:r>
              <w:rPr>
                <w:rFonts w:ascii="Calibri" w:hAnsi="Calibri" w:cs="Calibri"/>
                <w:b/>
                <w:sz w:val="32"/>
                <w:szCs w:val="28"/>
              </w:rPr>
              <w:t xml:space="preserve"> 7</w:t>
            </w:r>
            <w:r w:rsidR="00CD6EFA">
              <w:rPr>
                <w:rFonts w:ascii="Calibri" w:hAnsi="Calibri" w:cs="Calibri"/>
                <w:b/>
                <w:sz w:val="32"/>
                <w:szCs w:val="28"/>
              </w:rPr>
              <w:t>-11</w:t>
            </w:r>
            <w:r w:rsidR="000B4420">
              <w:rPr>
                <w:rFonts w:ascii="Calibri" w:hAnsi="Calibri" w:cs="Calibri"/>
                <w:b/>
                <w:sz w:val="32"/>
                <w:szCs w:val="28"/>
              </w:rPr>
              <w:t xml:space="preserve">, including Waiting Lists and Accepting or Declining the Offer of a Place </w:t>
            </w:r>
          </w:p>
          <w:p w14:paraId="75977386" w14:textId="0675B6A2" w:rsidR="00AE430D" w:rsidRPr="00CD6EFA" w:rsidRDefault="00AE430D" w:rsidP="00CD6EFA">
            <w:pPr>
              <w:ind w:left="-284"/>
              <w:jc w:val="center"/>
              <w:rPr>
                <w:rFonts w:ascii="Calibri" w:eastAsia="Calibri" w:hAnsi="Calibri" w:cs="Calibri"/>
                <w:b/>
                <w:sz w:val="32"/>
                <w:szCs w:val="28"/>
              </w:rPr>
            </w:pPr>
            <w:r>
              <w:rPr>
                <w:rFonts w:ascii="Calibri" w:hAnsi="Calibri" w:cs="Calibri"/>
                <w:b/>
                <w:sz w:val="32"/>
                <w:szCs w:val="28"/>
              </w:rPr>
              <w:t xml:space="preserve">from September </w:t>
            </w:r>
            <w:r w:rsidRPr="006E2E2C">
              <w:rPr>
                <w:rFonts w:ascii="Calibri" w:hAnsi="Calibri" w:cs="Calibri"/>
                <w:b/>
                <w:sz w:val="32"/>
                <w:szCs w:val="28"/>
              </w:rPr>
              <w:t>202</w:t>
            </w:r>
            <w:r w:rsidR="00AD395B">
              <w:rPr>
                <w:rFonts w:ascii="Calibri" w:hAnsi="Calibri" w:cs="Calibri"/>
                <w:b/>
                <w:sz w:val="32"/>
                <w:szCs w:val="28"/>
              </w:rPr>
              <w:t>4</w:t>
            </w:r>
          </w:p>
          <w:p w14:paraId="4E37CEEB" w14:textId="77777777" w:rsidR="00AE430D" w:rsidRPr="006E2E2C" w:rsidRDefault="00AE430D" w:rsidP="006E01EB">
            <w:pPr>
              <w:ind w:left="-284"/>
              <w:jc w:val="center"/>
              <w:rPr>
                <w:rFonts w:ascii="Calibri" w:hAnsi="Calibri" w:cs="Calibri"/>
                <w:u w:val="single"/>
              </w:rPr>
            </w:pPr>
          </w:p>
        </w:tc>
      </w:tr>
      <w:bookmarkEnd w:id="0"/>
    </w:tbl>
    <w:p w14:paraId="6F143BF9" w14:textId="77777777" w:rsidR="004445EF" w:rsidRDefault="004445EF"/>
    <w:p w14:paraId="764DB7B7" w14:textId="77777777" w:rsidR="00AE430D" w:rsidRPr="00AE430D" w:rsidRDefault="00AE430D" w:rsidP="00AE430D">
      <w:pPr>
        <w:rPr>
          <w:b/>
        </w:rPr>
      </w:pPr>
      <w:r w:rsidRPr="00AE430D">
        <w:rPr>
          <w:b/>
        </w:rPr>
        <w:t>Introduction</w:t>
      </w:r>
    </w:p>
    <w:p w14:paraId="4251D51A" w14:textId="0F715AA5" w:rsidR="00AE430D" w:rsidRPr="006E2E2C" w:rsidRDefault="00AE430D" w:rsidP="00AE430D">
      <w:r w:rsidRPr="006E2E2C">
        <w:t xml:space="preserve">Waingels </w:t>
      </w:r>
      <w:r w:rsidRPr="006E2E2C">
        <w:rPr>
          <w:spacing w:val="-2"/>
        </w:rPr>
        <w:t>i</w:t>
      </w:r>
      <w:r w:rsidRPr="006E2E2C">
        <w:t>s</w:t>
      </w:r>
      <w:r w:rsidRPr="006E2E2C">
        <w:rPr>
          <w:spacing w:val="-4"/>
        </w:rPr>
        <w:t xml:space="preserve"> </w:t>
      </w:r>
      <w:r w:rsidRPr="006E2E2C">
        <w:t>an</w:t>
      </w:r>
      <w:r w:rsidRPr="006E2E2C">
        <w:rPr>
          <w:spacing w:val="-4"/>
        </w:rPr>
        <w:t xml:space="preserve"> </w:t>
      </w:r>
      <w:r>
        <w:rPr>
          <w:spacing w:val="-4"/>
        </w:rPr>
        <w:t xml:space="preserve">academy school who act as their own admissions authority.  When an admission authority wishes to make changes to their admission arrangements, they must consult to ensure all relevant views are heard.  Waingels is consulting on the following change to the admission arrangements: </w:t>
      </w:r>
    </w:p>
    <w:p w14:paraId="5869162B" w14:textId="77777777" w:rsidR="00AE430D" w:rsidRPr="00EB0183" w:rsidRDefault="00AE430D" w:rsidP="00AE430D">
      <w:pPr>
        <w:rPr>
          <w:sz w:val="16"/>
          <w:szCs w:val="16"/>
        </w:rPr>
      </w:pPr>
    </w:p>
    <w:p w14:paraId="528453A6" w14:textId="7BDD3B55" w:rsidR="00AE430D" w:rsidRPr="00AE430D" w:rsidRDefault="00AE430D" w:rsidP="00AE430D">
      <w:pPr>
        <w:rPr>
          <w:b/>
        </w:rPr>
      </w:pPr>
      <w:r w:rsidRPr="00AE430D">
        <w:rPr>
          <w:b/>
        </w:rPr>
        <w:t>Proposed change</w:t>
      </w:r>
      <w:r w:rsidR="000B4420">
        <w:rPr>
          <w:b/>
        </w:rPr>
        <w:t>s</w:t>
      </w:r>
      <w:r>
        <w:rPr>
          <w:b/>
        </w:rPr>
        <w:t>:</w:t>
      </w:r>
    </w:p>
    <w:p w14:paraId="7C6099A6" w14:textId="0AAF1F59" w:rsidR="00AE430D" w:rsidRDefault="00AE430D" w:rsidP="00AE430D">
      <w:pPr>
        <w:rPr>
          <w:rFonts w:cstheme="minorHAnsi"/>
        </w:rPr>
      </w:pPr>
      <w:r>
        <w:rPr>
          <w:rFonts w:cstheme="minorHAnsi"/>
        </w:rPr>
        <w:t>Wording and processes have been changed by Waingels, as the admission authority for the school, as opposed to the Local Authority.</w:t>
      </w:r>
    </w:p>
    <w:p w14:paraId="20F3767C" w14:textId="77777777" w:rsidR="00AE430D" w:rsidRPr="00EB0183" w:rsidRDefault="00AE430D" w:rsidP="00AE430D">
      <w:pPr>
        <w:rPr>
          <w:rFonts w:cstheme="minorHAnsi"/>
          <w:sz w:val="16"/>
          <w:szCs w:val="16"/>
        </w:rPr>
      </w:pPr>
    </w:p>
    <w:p w14:paraId="37152C38" w14:textId="4185FB04" w:rsidR="00AE430D" w:rsidRDefault="00AE430D" w:rsidP="00AE430D">
      <w:pPr>
        <w:rPr>
          <w:rFonts w:cstheme="minorHAnsi"/>
          <w:b/>
        </w:rPr>
      </w:pPr>
      <w:r>
        <w:rPr>
          <w:rFonts w:cstheme="minorHAnsi"/>
          <w:b/>
        </w:rPr>
        <w:t>The c</w:t>
      </w:r>
      <w:r w:rsidRPr="00AE430D">
        <w:rPr>
          <w:rFonts w:cstheme="minorHAnsi"/>
          <w:b/>
        </w:rPr>
        <w:t xml:space="preserve">hange to </w:t>
      </w:r>
      <w:r w:rsidR="00CD6EFA">
        <w:rPr>
          <w:rFonts w:cstheme="minorHAnsi"/>
          <w:b/>
        </w:rPr>
        <w:t>In-Year Admissions</w:t>
      </w:r>
      <w:r w:rsidR="00E327D4">
        <w:rPr>
          <w:rFonts w:cstheme="minorHAnsi"/>
          <w:b/>
        </w:rPr>
        <w:t xml:space="preserve"> </w:t>
      </w:r>
      <w:r w:rsidR="000B4420">
        <w:rPr>
          <w:rFonts w:cstheme="minorHAnsi"/>
          <w:b/>
        </w:rPr>
        <w:t xml:space="preserve">in </w:t>
      </w:r>
      <w:r w:rsidR="00E327D4">
        <w:rPr>
          <w:rFonts w:cstheme="minorHAnsi"/>
          <w:b/>
        </w:rPr>
        <w:t xml:space="preserve">Years 7 – 11 </w:t>
      </w:r>
      <w:r w:rsidR="000B4420">
        <w:rPr>
          <w:rFonts w:cstheme="minorHAnsi"/>
          <w:b/>
        </w:rPr>
        <w:t>is</w:t>
      </w:r>
      <w:r w:rsidRPr="00AE430D">
        <w:rPr>
          <w:rFonts w:cstheme="minorHAnsi"/>
          <w:b/>
        </w:rPr>
        <w:t>:</w:t>
      </w:r>
    </w:p>
    <w:p w14:paraId="4BC229C6" w14:textId="66783749" w:rsidR="00AE430D" w:rsidRPr="00AE430D" w:rsidRDefault="00343123" w:rsidP="00AE430D">
      <w:pPr>
        <w:rPr>
          <w:rFonts w:cstheme="minorHAnsi"/>
        </w:rPr>
      </w:pPr>
      <w:r>
        <w:rPr>
          <w:rFonts w:cstheme="minorHAnsi"/>
        </w:rPr>
        <w:t xml:space="preserve">To </w:t>
      </w:r>
      <w:r w:rsidR="000B4420">
        <w:rPr>
          <w:rFonts w:cstheme="minorHAnsi"/>
        </w:rPr>
        <w:t>publish</w:t>
      </w:r>
      <w:r>
        <w:rPr>
          <w:rFonts w:cstheme="minorHAnsi"/>
        </w:rPr>
        <w:t xml:space="preserve"> the</w:t>
      </w:r>
      <w:r w:rsidR="000B4420">
        <w:rPr>
          <w:rFonts w:cstheme="minorHAnsi"/>
        </w:rPr>
        <w:t xml:space="preserve"> timeline of the application timetable.</w:t>
      </w:r>
      <w:r>
        <w:rPr>
          <w:rFonts w:cstheme="minorHAnsi"/>
        </w:rPr>
        <w:t xml:space="preserve"> </w:t>
      </w:r>
    </w:p>
    <w:p w14:paraId="72C97BA0" w14:textId="77777777" w:rsidR="00AE430D" w:rsidRPr="00EB0183" w:rsidRDefault="00AE430D" w:rsidP="00AE430D">
      <w:pPr>
        <w:rPr>
          <w:rFonts w:cstheme="minorHAnsi"/>
          <w:sz w:val="16"/>
          <w:szCs w:val="16"/>
        </w:rPr>
      </w:pPr>
    </w:p>
    <w:p w14:paraId="087E8F61" w14:textId="7A89C3DA" w:rsidR="000B4420" w:rsidRDefault="000B4420" w:rsidP="000B4420">
      <w:pPr>
        <w:rPr>
          <w:rFonts w:cstheme="minorHAnsi"/>
          <w:b/>
        </w:rPr>
      </w:pPr>
      <w:r>
        <w:rPr>
          <w:rFonts w:cstheme="minorHAnsi"/>
          <w:b/>
        </w:rPr>
        <w:t>The c</w:t>
      </w:r>
      <w:r w:rsidRPr="00AE430D">
        <w:rPr>
          <w:rFonts w:cstheme="minorHAnsi"/>
          <w:b/>
        </w:rPr>
        <w:t xml:space="preserve">hange to </w:t>
      </w:r>
      <w:r>
        <w:rPr>
          <w:rFonts w:cstheme="minorHAnsi"/>
          <w:b/>
        </w:rPr>
        <w:t>Waiting Lists for In-Year Admissions Years 7 – 11 is</w:t>
      </w:r>
      <w:r w:rsidRPr="00AE430D">
        <w:rPr>
          <w:rFonts w:cstheme="minorHAnsi"/>
          <w:b/>
        </w:rPr>
        <w:t>:</w:t>
      </w:r>
    </w:p>
    <w:p w14:paraId="122B8D0A" w14:textId="2147D4FB" w:rsidR="000B4420" w:rsidRPr="000B4420" w:rsidRDefault="000B4420" w:rsidP="000B4420">
      <w:pPr>
        <w:rPr>
          <w:rFonts w:cstheme="minorHAnsi"/>
        </w:rPr>
      </w:pPr>
      <w:r w:rsidRPr="000B4420">
        <w:rPr>
          <w:rFonts w:cstheme="minorHAnsi"/>
        </w:rPr>
        <w:t xml:space="preserve">To streamline the process to close the waiting list at the end of </w:t>
      </w:r>
      <w:r>
        <w:rPr>
          <w:rFonts w:cstheme="minorHAnsi"/>
        </w:rPr>
        <w:t>the school year.</w:t>
      </w:r>
    </w:p>
    <w:p w14:paraId="3C008655" w14:textId="77777777" w:rsidR="000B4420" w:rsidRDefault="000B4420" w:rsidP="00AE430D">
      <w:pPr>
        <w:rPr>
          <w:rFonts w:cstheme="minorHAnsi"/>
          <w:b/>
        </w:rPr>
      </w:pPr>
    </w:p>
    <w:p w14:paraId="7A4F2ED0" w14:textId="68B5FA6C" w:rsidR="000B4420" w:rsidRDefault="000B4420" w:rsidP="000B4420">
      <w:pPr>
        <w:rPr>
          <w:rFonts w:cstheme="minorHAnsi"/>
          <w:b/>
        </w:rPr>
      </w:pPr>
      <w:r>
        <w:rPr>
          <w:rFonts w:cstheme="minorHAnsi"/>
          <w:b/>
        </w:rPr>
        <w:t>The c</w:t>
      </w:r>
      <w:r w:rsidRPr="00AE430D">
        <w:rPr>
          <w:rFonts w:cstheme="minorHAnsi"/>
          <w:b/>
        </w:rPr>
        <w:t xml:space="preserve">hange to </w:t>
      </w:r>
      <w:r>
        <w:rPr>
          <w:rFonts w:cstheme="minorHAnsi"/>
          <w:b/>
        </w:rPr>
        <w:t>Accepting or Declining the Offer of a Place for In-Year Admissions Years 7 – 11 is</w:t>
      </w:r>
      <w:r w:rsidRPr="00AE430D">
        <w:rPr>
          <w:rFonts w:cstheme="minorHAnsi"/>
          <w:b/>
        </w:rPr>
        <w:t>:</w:t>
      </w:r>
    </w:p>
    <w:p w14:paraId="36E1719B" w14:textId="601E917C" w:rsidR="000B4420" w:rsidRPr="000B4420" w:rsidRDefault="000B4420" w:rsidP="00AE430D">
      <w:pPr>
        <w:rPr>
          <w:rFonts w:cstheme="minorHAnsi"/>
        </w:rPr>
      </w:pPr>
      <w:r w:rsidRPr="000B4420">
        <w:rPr>
          <w:rFonts w:cstheme="minorHAnsi"/>
        </w:rPr>
        <w:t>To clarify expected start dates.</w:t>
      </w:r>
    </w:p>
    <w:p w14:paraId="27978BDC" w14:textId="77777777" w:rsidR="000B4420" w:rsidRDefault="000B4420" w:rsidP="00AE430D">
      <w:pPr>
        <w:rPr>
          <w:rFonts w:cstheme="minorHAnsi"/>
          <w:b/>
        </w:rPr>
      </w:pPr>
    </w:p>
    <w:p w14:paraId="36989C24" w14:textId="01D01A8F" w:rsidR="00AE430D" w:rsidRPr="004F61E8" w:rsidRDefault="00AE430D" w:rsidP="00AE430D">
      <w:pPr>
        <w:rPr>
          <w:rFonts w:cstheme="minorHAnsi"/>
          <w:b/>
        </w:rPr>
      </w:pPr>
      <w:r w:rsidRPr="004F61E8">
        <w:rPr>
          <w:rFonts w:cstheme="minorHAnsi"/>
          <w:b/>
        </w:rPr>
        <w:t>Why are we proposing this change?</w:t>
      </w:r>
    </w:p>
    <w:p w14:paraId="11FA96F2" w14:textId="0FC0300B" w:rsidR="004F61E8" w:rsidRDefault="004F61E8" w:rsidP="00AE430D">
      <w:pPr>
        <w:rPr>
          <w:rFonts w:cstheme="minorHAnsi"/>
        </w:rPr>
      </w:pPr>
      <w:r>
        <w:rPr>
          <w:rFonts w:cstheme="minorHAnsi"/>
        </w:rPr>
        <w:t>Waingels act as their own admissions authority and the admission arrangements need to reflect applications being processed by Waingels.</w:t>
      </w:r>
    </w:p>
    <w:p w14:paraId="557D7072" w14:textId="77777777" w:rsidR="004F61E8" w:rsidRDefault="004F61E8" w:rsidP="00AE430D">
      <w:pPr>
        <w:rPr>
          <w:rFonts w:cstheme="minorHAnsi"/>
        </w:rPr>
      </w:pPr>
    </w:p>
    <w:p w14:paraId="484F9789" w14:textId="10498923" w:rsidR="00AE430D" w:rsidRDefault="004F61E8" w:rsidP="00AE430D">
      <w:pPr>
        <w:rPr>
          <w:rFonts w:cstheme="minorHAnsi"/>
        </w:rPr>
      </w:pPr>
      <w:r>
        <w:rPr>
          <w:rFonts w:cstheme="minorHAnsi"/>
        </w:rPr>
        <w:t xml:space="preserve">Waingels continues to be a popular school, </w:t>
      </w:r>
      <w:r w:rsidR="00453B67">
        <w:rPr>
          <w:rFonts w:cstheme="minorHAnsi"/>
        </w:rPr>
        <w:t>with waiting lists in the majority of year groups. It is imperative that any available spaces are allocated without undue delay, to ensure that students have access to quality education as soon as possible.</w:t>
      </w:r>
    </w:p>
    <w:p w14:paraId="3ECF6011" w14:textId="77777777" w:rsidR="00343123" w:rsidRDefault="00343123" w:rsidP="00AE430D">
      <w:pPr>
        <w:rPr>
          <w:rFonts w:cstheme="minorHAnsi"/>
        </w:rPr>
      </w:pPr>
    </w:p>
    <w:p w14:paraId="23DC4360" w14:textId="53D079C4" w:rsidR="009A6D26" w:rsidRDefault="00FA5927" w:rsidP="00AE430D">
      <w:pPr>
        <w:rPr>
          <w:rFonts w:cstheme="minorHAnsi"/>
        </w:rPr>
      </w:pPr>
      <w:r>
        <w:rPr>
          <w:rFonts w:cstheme="minorHAnsi"/>
        </w:rPr>
        <w:t xml:space="preserve">A copy of the proposed arrangement can be seen on the Waingels website: </w:t>
      </w:r>
      <w:hyperlink r:id="rId8" w:history="1">
        <w:r w:rsidR="009A6D26" w:rsidRPr="00103EB5">
          <w:rPr>
            <w:rStyle w:val="Hyperlink"/>
            <w:rFonts w:cstheme="minorHAnsi"/>
          </w:rPr>
          <w:t>www.waingels.wokingham.sch.uk/282/admissions</w:t>
        </w:r>
      </w:hyperlink>
    </w:p>
    <w:p w14:paraId="26231D48" w14:textId="77777777" w:rsidR="009A6D26" w:rsidRDefault="009A6D26" w:rsidP="00AE430D">
      <w:pPr>
        <w:rPr>
          <w:rFonts w:cstheme="minorHAnsi"/>
        </w:rPr>
      </w:pPr>
    </w:p>
    <w:p w14:paraId="2851D2C2" w14:textId="77777777" w:rsidR="00FA5927" w:rsidRDefault="00FA5927" w:rsidP="00AE430D">
      <w:pPr>
        <w:rPr>
          <w:rFonts w:cstheme="minorHAnsi"/>
          <w:b/>
        </w:rPr>
      </w:pPr>
      <w:r w:rsidRPr="00FA5927">
        <w:rPr>
          <w:rFonts w:cstheme="minorHAnsi"/>
          <w:b/>
        </w:rPr>
        <w:t>How can you respond?</w:t>
      </w:r>
    </w:p>
    <w:p w14:paraId="3C5813BF" w14:textId="19FA61BA" w:rsidR="009A6D26" w:rsidRPr="009A6D26" w:rsidRDefault="00FA5927" w:rsidP="00AE430D">
      <w:pPr>
        <w:rPr>
          <w:rFonts w:cstheme="minorHAnsi"/>
        </w:rPr>
      </w:pPr>
      <w:r w:rsidRPr="00FA5927">
        <w:rPr>
          <w:rFonts w:cstheme="minorHAnsi"/>
        </w:rPr>
        <w:t>We</w:t>
      </w:r>
      <w:r>
        <w:rPr>
          <w:rFonts w:cstheme="minorHAnsi"/>
        </w:rPr>
        <w:t xml:space="preserve"> would appreciate your views on this proposal.  Please send any comments regarding the proposed change, by e-mail to: </w:t>
      </w:r>
      <w:hyperlink r:id="rId9" w:history="1">
        <w:r w:rsidR="00A93F05" w:rsidRPr="00837582">
          <w:rPr>
            <w:rStyle w:val="Hyperlink"/>
            <w:rFonts w:cstheme="minorHAnsi"/>
            <w:color w:val="auto"/>
            <w:u w:val="none"/>
          </w:rPr>
          <w:t>admissions@waingels.wokingham.sch.uk</w:t>
        </w:r>
      </w:hyperlink>
    </w:p>
    <w:p w14:paraId="30CEB9A9" w14:textId="77777777" w:rsidR="00FA5927" w:rsidRDefault="00FA5927" w:rsidP="00AE430D">
      <w:pPr>
        <w:rPr>
          <w:rFonts w:cstheme="minorHAnsi"/>
        </w:rPr>
      </w:pPr>
      <w:r>
        <w:rPr>
          <w:rFonts w:cstheme="minorHAnsi"/>
        </w:rPr>
        <w:t>Please mark your e-mail WAINGELS ADMISSIONS CONSULTATION</w:t>
      </w:r>
    </w:p>
    <w:p w14:paraId="05B54F35" w14:textId="77777777" w:rsidR="00FA5927" w:rsidRDefault="00FA5927" w:rsidP="00AE430D">
      <w:pPr>
        <w:rPr>
          <w:rFonts w:cstheme="minorHAnsi"/>
        </w:rPr>
      </w:pPr>
    </w:p>
    <w:p w14:paraId="17AC4A52" w14:textId="3FF27D4A" w:rsidR="00FA5927" w:rsidRPr="006A68C4" w:rsidRDefault="00FA5927" w:rsidP="00AE430D">
      <w:pPr>
        <w:rPr>
          <w:rFonts w:cstheme="minorHAnsi"/>
        </w:rPr>
      </w:pPr>
      <w:r>
        <w:rPr>
          <w:rFonts w:cstheme="minorHAnsi"/>
        </w:rPr>
        <w:t xml:space="preserve">The consultation takes place between </w:t>
      </w:r>
      <w:r w:rsidR="00AD395B">
        <w:rPr>
          <w:rFonts w:cstheme="minorHAnsi"/>
        </w:rPr>
        <w:t>21</w:t>
      </w:r>
      <w:r w:rsidR="00AD395B" w:rsidRPr="00AD395B">
        <w:rPr>
          <w:rFonts w:cstheme="minorHAnsi"/>
          <w:vertAlign w:val="superscript"/>
        </w:rPr>
        <w:t>st</w:t>
      </w:r>
      <w:r w:rsidR="006A68C4" w:rsidRPr="006A68C4">
        <w:rPr>
          <w:rFonts w:cstheme="minorHAnsi"/>
        </w:rPr>
        <w:t xml:space="preserve"> October and 2</w:t>
      </w:r>
      <w:r w:rsidR="00AD395B" w:rsidRPr="00AD395B">
        <w:rPr>
          <w:rFonts w:cstheme="minorHAnsi"/>
          <w:vertAlign w:val="superscript"/>
        </w:rPr>
        <w:t>nd</w:t>
      </w:r>
      <w:r w:rsidR="00AD395B">
        <w:rPr>
          <w:rFonts w:cstheme="minorHAnsi"/>
        </w:rPr>
        <w:t xml:space="preserve"> Dec</w:t>
      </w:r>
      <w:r w:rsidR="006A68C4" w:rsidRPr="006A68C4">
        <w:rPr>
          <w:rFonts w:cstheme="minorHAnsi"/>
        </w:rPr>
        <w:t>ember 2022</w:t>
      </w:r>
      <w:r w:rsidR="00AD395B">
        <w:rPr>
          <w:rFonts w:cstheme="minorHAnsi"/>
        </w:rPr>
        <w:t>.</w:t>
      </w:r>
    </w:p>
    <w:p w14:paraId="47ABE9C1" w14:textId="77777777" w:rsidR="00AE430D" w:rsidRDefault="00AE430D" w:rsidP="00AE430D">
      <w:pPr>
        <w:rPr>
          <w:rFonts w:cstheme="minorHAnsi"/>
        </w:rPr>
      </w:pPr>
    </w:p>
    <w:p w14:paraId="29337345" w14:textId="77777777" w:rsidR="00AE430D" w:rsidRDefault="00FA5927" w:rsidP="00AE430D">
      <w:pPr>
        <w:rPr>
          <w:rFonts w:cstheme="minorHAnsi"/>
          <w:b/>
        </w:rPr>
      </w:pPr>
      <w:r w:rsidRPr="00FA5927">
        <w:rPr>
          <w:rFonts w:cstheme="minorHAnsi"/>
          <w:b/>
        </w:rPr>
        <w:t>What happens next?</w:t>
      </w:r>
    </w:p>
    <w:p w14:paraId="05BD9452" w14:textId="14AC0367" w:rsidR="00EB0183" w:rsidRPr="00453B67" w:rsidRDefault="00FA5927" w:rsidP="00EB0183">
      <w:pPr>
        <w:rPr>
          <w:rFonts w:cstheme="minorHAnsi"/>
          <w:i/>
          <w:color w:val="FF0000"/>
        </w:rPr>
      </w:pPr>
      <w:r w:rsidRPr="00FA5927">
        <w:rPr>
          <w:rFonts w:cstheme="minorHAnsi"/>
        </w:rPr>
        <w:t xml:space="preserve">After the </w:t>
      </w:r>
      <w:r>
        <w:rPr>
          <w:rFonts w:cstheme="minorHAnsi"/>
        </w:rPr>
        <w:t xml:space="preserve">consultation closing date, the responses will be collated and presented to the </w:t>
      </w:r>
      <w:r w:rsidRPr="00837582">
        <w:rPr>
          <w:rFonts w:cstheme="minorHAnsi"/>
        </w:rPr>
        <w:t>Waingels Governing Body</w:t>
      </w:r>
      <w:r w:rsidRPr="00837582">
        <w:rPr>
          <w:rFonts w:cstheme="minorHAnsi"/>
          <w:i/>
        </w:rPr>
        <w:t xml:space="preserve"> </w:t>
      </w:r>
      <w:r>
        <w:rPr>
          <w:rFonts w:cstheme="minorHAnsi"/>
        </w:rPr>
        <w:t xml:space="preserve">who will reach a decision on whether or not to proceed with the </w:t>
      </w:r>
      <w:r w:rsidR="00EB0183">
        <w:rPr>
          <w:rFonts w:cstheme="minorHAnsi"/>
        </w:rPr>
        <w:t>proposed</w:t>
      </w:r>
      <w:r>
        <w:rPr>
          <w:rFonts w:cstheme="minorHAnsi"/>
        </w:rPr>
        <w:t xml:space="preserve"> change</w:t>
      </w:r>
      <w:r w:rsidR="00EB0183">
        <w:rPr>
          <w:rFonts w:cstheme="minorHAnsi"/>
        </w:rPr>
        <w:t xml:space="preserve"> and determine the admission arrangements.   The outcome will be published on Waingels </w:t>
      </w:r>
      <w:r w:rsidR="00EB0183" w:rsidRPr="006A68C4">
        <w:rPr>
          <w:rFonts w:cstheme="minorHAnsi"/>
        </w:rPr>
        <w:t xml:space="preserve">website by </w:t>
      </w:r>
      <w:r w:rsidR="00AD395B">
        <w:rPr>
          <w:rFonts w:cstheme="minorHAnsi"/>
        </w:rPr>
        <w:t>4</w:t>
      </w:r>
      <w:r w:rsidR="006A68C4" w:rsidRPr="006A68C4">
        <w:rPr>
          <w:rFonts w:cstheme="minorHAnsi"/>
          <w:vertAlign w:val="superscript"/>
        </w:rPr>
        <w:t>th</w:t>
      </w:r>
      <w:r w:rsidR="006A68C4" w:rsidRPr="006A68C4">
        <w:rPr>
          <w:rFonts w:cstheme="minorHAnsi"/>
        </w:rPr>
        <w:t xml:space="preserve"> </w:t>
      </w:r>
      <w:r w:rsidR="00AD395B">
        <w:rPr>
          <w:rFonts w:cstheme="minorHAnsi"/>
        </w:rPr>
        <w:t>March</w:t>
      </w:r>
      <w:bookmarkStart w:id="2" w:name="_GoBack"/>
      <w:bookmarkEnd w:id="2"/>
      <w:r w:rsidR="006A68C4" w:rsidRPr="006A68C4">
        <w:rPr>
          <w:rFonts w:cstheme="minorHAnsi"/>
        </w:rPr>
        <w:t xml:space="preserve"> 2023.</w:t>
      </w:r>
    </w:p>
    <w:bookmarkEnd w:id="1"/>
    <w:p w14:paraId="54EFB8DF" w14:textId="77777777" w:rsidR="00EB0183" w:rsidRDefault="00EB0183" w:rsidP="00AE430D">
      <w:pPr>
        <w:rPr>
          <w:rFonts w:cstheme="minorHAnsi"/>
          <w:i/>
          <w:color w:val="FF0000"/>
        </w:rPr>
      </w:pPr>
    </w:p>
    <w:sectPr w:rsidR="00EB0183" w:rsidSect="00EB0183">
      <w:pgSz w:w="11906" w:h="16838"/>
      <w:pgMar w:top="426"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A6B29" w14:textId="77777777" w:rsidR="00496088" w:rsidRDefault="00496088">
      <w:r>
        <w:separator/>
      </w:r>
    </w:p>
  </w:endnote>
  <w:endnote w:type="continuationSeparator" w:id="0">
    <w:p w14:paraId="25CD7181" w14:textId="77777777" w:rsidR="00496088" w:rsidRDefault="0049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08EBF" w14:textId="77777777" w:rsidR="00496088" w:rsidRDefault="00496088">
      <w:r>
        <w:separator/>
      </w:r>
    </w:p>
  </w:footnote>
  <w:footnote w:type="continuationSeparator" w:id="0">
    <w:p w14:paraId="669FBDC2" w14:textId="77777777" w:rsidR="00496088" w:rsidRDefault="00496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337C"/>
    <w:multiLevelType w:val="multilevel"/>
    <w:tmpl w:val="AAB0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C7D8A"/>
    <w:multiLevelType w:val="hybridMultilevel"/>
    <w:tmpl w:val="C19279FC"/>
    <w:lvl w:ilvl="0" w:tplc="483CA4BA">
      <w:start w:val="1"/>
      <w:numFmt w:val="decimal"/>
      <w:lvlText w:val="%1."/>
      <w:lvlJc w:val="left"/>
      <w:pPr>
        <w:ind w:hanging="360"/>
      </w:pPr>
      <w:rPr>
        <w:rFonts w:ascii="Arial" w:eastAsia="Arial" w:hAnsi="Arial" w:hint="default"/>
        <w:spacing w:val="-1"/>
        <w:w w:val="99"/>
        <w:sz w:val="20"/>
        <w:szCs w:val="20"/>
      </w:rPr>
    </w:lvl>
    <w:lvl w:ilvl="1" w:tplc="1218A840">
      <w:start w:val="1"/>
      <w:numFmt w:val="bullet"/>
      <w:lvlText w:val="•"/>
      <w:lvlJc w:val="left"/>
      <w:rPr>
        <w:rFonts w:hint="default"/>
      </w:rPr>
    </w:lvl>
    <w:lvl w:ilvl="2" w:tplc="38E62692">
      <w:start w:val="1"/>
      <w:numFmt w:val="bullet"/>
      <w:lvlText w:val="•"/>
      <w:lvlJc w:val="left"/>
      <w:rPr>
        <w:rFonts w:hint="default"/>
      </w:rPr>
    </w:lvl>
    <w:lvl w:ilvl="3" w:tplc="3AAEAD6A">
      <w:start w:val="1"/>
      <w:numFmt w:val="bullet"/>
      <w:lvlText w:val="•"/>
      <w:lvlJc w:val="left"/>
      <w:rPr>
        <w:rFonts w:hint="default"/>
      </w:rPr>
    </w:lvl>
    <w:lvl w:ilvl="4" w:tplc="623C350A">
      <w:start w:val="1"/>
      <w:numFmt w:val="bullet"/>
      <w:lvlText w:val="•"/>
      <w:lvlJc w:val="left"/>
      <w:rPr>
        <w:rFonts w:hint="default"/>
      </w:rPr>
    </w:lvl>
    <w:lvl w:ilvl="5" w:tplc="2DE868FA">
      <w:start w:val="1"/>
      <w:numFmt w:val="bullet"/>
      <w:lvlText w:val="•"/>
      <w:lvlJc w:val="left"/>
      <w:rPr>
        <w:rFonts w:hint="default"/>
      </w:rPr>
    </w:lvl>
    <w:lvl w:ilvl="6" w:tplc="D696BC70">
      <w:start w:val="1"/>
      <w:numFmt w:val="bullet"/>
      <w:lvlText w:val="•"/>
      <w:lvlJc w:val="left"/>
      <w:rPr>
        <w:rFonts w:hint="default"/>
      </w:rPr>
    </w:lvl>
    <w:lvl w:ilvl="7" w:tplc="9CD05696">
      <w:start w:val="1"/>
      <w:numFmt w:val="bullet"/>
      <w:lvlText w:val="•"/>
      <w:lvlJc w:val="left"/>
      <w:rPr>
        <w:rFonts w:hint="default"/>
      </w:rPr>
    </w:lvl>
    <w:lvl w:ilvl="8" w:tplc="4E4C4786">
      <w:start w:val="1"/>
      <w:numFmt w:val="bullet"/>
      <w:lvlText w:val="•"/>
      <w:lvlJc w:val="left"/>
      <w:rPr>
        <w:rFonts w:hint="default"/>
      </w:rPr>
    </w:lvl>
  </w:abstractNum>
  <w:abstractNum w:abstractNumId="2" w15:restartNumberingAfterBreak="0">
    <w:nsid w:val="14B7602F"/>
    <w:multiLevelType w:val="hybridMultilevel"/>
    <w:tmpl w:val="09CE779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821C6D"/>
    <w:multiLevelType w:val="hybridMultilevel"/>
    <w:tmpl w:val="4CBE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175BA"/>
    <w:multiLevelType w:val="hybridMultilevel"/>
    <w:tmpl w:val="69EC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B87A9D"/>
    <w:multiLevelType w:val="multilevel"/>
    <w:tmpl w:val="74F07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40F21"/>
    <w:multiLevelType w:val="hybridMultilevel"/>
    <w:tmpl w:val="5A865026"/>
    <w:lvl w:ilvl="0" w:tplc="62BA1344">
      <w:start w:val="1"/>
      <w:numFmt w:val="bullet"/>
      <w:lvlText w:val=""/>
      <w:lvlJc w:val="left"/>
      <w:pPr>
        <w:ind w:hanging="361"/>
      </w:pPr>
      <w:rPr>
        <w:rFonts w:ascii="Symbol" w:eastAsia="Symbol" w:hAnsi="Symbol" w:hint="default"/>
        <w:w w:val="99"/>
        <w:sz w:val="20"/>
        <w:szCs w:val="20"/>
      </w:rPr>
    </w:lvl>
    <w:lvl w:ilvl="1" w:tplc="2CCCE6E2">
      <w:start w:val="1"/>
      <w:numFmt w:val="lowerLetter"/>
      <w:lvlText w:val="%2)"/>
      <w:lvlJc w:val="left"/>
      <w:pPr>
        <w:ind w:hanging="425"/>
      </w:pPr>
      <w:rPr>
        <w:rFonts w:hint="default"/>
        <w:spacing w:val="-1"/>
        <w:w w:val="99"/>
        <w:sz w:val="24"/>
        <w:szCs w:val="24"/>
      </w:rPr>
    </w:lvl>
    <w:lvl w:ilvl="2" w:tplc="95729FDC">
      <w:start w:val="1"/>
      <w:numFmt w:val="bullet"/>
      <w:lvlText w:val="•"/>
      <w:lvlJc w:val="left"/>
      <w:rPr>
        <w:rFonts w:hint="default"/>
      </w:rPr>
    </w:lvl>
    <w:lvl w:ilvl="3" w:tplc="4DFE84D0">
      <w:start w:val="1"/>
      <w:numFmt w:val="bullet"/>
      <w:lvlText w:val="•"/>
      <w:lvlJc w:val="left"/>
      <w:rPr>
        <w:rFonts w:hint="default"/>
      </w:rPr>
    </w:lvl>
    <w:lvl w:ilvl="4" w:tplc="C5664FAC">
      <w:start w:val="1"/>
      <w:numFmt w:val="bullet"/>
      <w:lvlText w:val="•"/>
      <w:lvlJc w:val="left"/>
      <w:rPr>
        <w:rFonts w:hint="default"/>
      </w:rPr>
    </w:lvl>
    <w:lvl w:ilvl="5" w:tplc="D5DC04C6">
      <w:start w:val="1"/>
      <w:numFmt w:val="bullet"/>
      <w:lvlText w:val="•"/>
      <w:lvlJc w:val="left"/>
      <w:rPr>
        <w:rFonts w:hint="default"/>
      </w:rPr>
    </w:lvl>
    <w:lvl w:ilvl="6" w:tplc="81368F9A">
      <w:start w:val="1"/>
      <w:numFmt w:val="bullet"/>
      <w:lvlText w:val="•"/>
      <w:lvlJc w:val="left"/>
      <w:rPr>
        <w:rFonts w:hint="default"/>
      </w:rPr>
    </w:lvl>
    <w:lvl w:ilvl="7" w:tplc="77E89370">
      <w:start w:val="1"/>
      <w:numFmt w:val="bullet"/>
      <w:lvlText w:val="•"/>
      <w:lvlJc w:val="left"/>
      <w:rPr>
        <w:rFonts w:hint="default"/>
      </w:rPr>
    </w:lvl>
    <w:lvl w:ilvl="8" w:tplc="C3A08D0A">
      <w:start w:val="1"/>
      <w:numFmt w:val="bullet"/>
      <w:lvlText w:val="•"/>
      <w:lvlJc w:val="left"/>
      <w:rPr>
        <w:rFonts w:hint="default"/>
      </w:rPr>
    </w:lvl>
  </w:abstractNum>
  <w:abstractNum w:abstractNumId="7" w15:restartNumberingAfterBreak="0">
    <w:nsid w:val="1E66692B"/>
    <w:multiLevelType w:val="hybridMultilevel"/>
    <w:tmpl w:val="BBD8CB5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8" w15:restartNumberingAfterBreak="0">
    <w:nsid w:val="1F5252E0"/>
    <w:multiLevelType w:val="multilevel"/>
    <w:tmpl w:val="6A7C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36715"/>
    <w:multiLevelType w:val="hybridMultilevel"/>
    <w:tmpl w:val="C252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E7A8C"/>
    <w:multiLevelType w:val="multilevel"/>
    <w:tmpl w:val="2C8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C2DF8"/>
    <w:multiLevelType w:val="hybridMultilevel"/>
    <w:tmpl w:val="651C6EA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2" w15:restartNumberingAfterBreak="0">
    <w:nsid w:val="309752CA"/>
    <w:multiLevelType w:val="multilevel"/>
    <w:tmpl w:val="C19C2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6C3D45"/>
    <w:multiLevelType w:val="hybridMultilevel"/>
    <w:tmpl w:val="6FE4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2110D"/>
    <w:multiLevelType w:val="hybridMultilevel"/>
    <w:tmpl w:val="AE7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F7F98"/>
    <w:multiLevelType w:val="hybridMultilevel"/>
    <w:tmpl w:val="A262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17C5C"/>
    <w:multiLevelType w:val="hybridMultilevel"/>
    <w:tmpl w:val="71FEB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161AF4"/>
    <w:multiLevelType w:val="hybridMultilevel"/>
    <w:tmpl w:val="61F4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D0003"/>
    <w:multiLevelType w:val="multilevel"/>
    <w:tmpl w:val="4C90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AA31BC"/>
    <w:multiLevelType w:val="hybridMultilevel"/>
    <w:tmpl w:val="802A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A03E02"/>
    <w:multiLevelType w:val="hybridMultilevel"/>
    <w:tmpl w:val="3354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71285"/>
    <w:multiLevelType w:val="multilevel"/>
    <w:tmpl w:val="6B80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254109"/>
    <w:multiLevelType w:val="multilevel"/>
    <w:tmpl w:val="547A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B457C7"/>
    <w:multiLevelType w:val="hybridMultilevel"/>
    <w:tmpl w:val="77DC9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EFB40F2"/>
    <w:multiLevelType w:val="hybridMultilevel"/>
    <w:tmpl w:val="64E8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0"/>
  </w:num>
  <w:num w:numId="4">
    <w:abstractNumId w:val="5"/>
  </w:num>
  <w:num w:numId="5">
    <w:abstractNumId w:val="8"/>
  </w:num>
  <w:num w:numId="6">
    <w:abstractNumId w:val="12"/>
  </w:num>
  <w:num w:numId="7">
    <w:abstractNumId w:val="0"/>
  </w:num>
  <w:num w:numId="8">
    <w:abstractNumId w:val="18"/>
  </w:num>
  <w:num w:numId="9">
    <w:abstractNumId w:val="19"/>
  </w:num>
  <w:num w:numId="10">
    <w:abstractNumId w:val="24"/>
  </w:num>
  <w:num w:numId="11">
    <w:abstractNumId w:val="9"/>
  </w:num>
  <w:num w:numId="12">
    <w:abstractNumId w:val="15"/>
  </w:num>
  <w:num w:numId="13">
    <w:abstractNumId w:val="3"/>
  </w:num>
  <w:num w:numId="14">
    <w:abstractNumId w:val="14"/>
  </w:num>
  <w:num w:numId="15">
    <w:abstractNumId w:val="13"/>
  </w:num>
  <w:num w:numId="16">
    <w:abstractNumId w:val="20"/>
  </w:num>
  <w:num w:numId="17">
    <w:abstractNumId w:val="16"/>
  </w:num>
  <w:num w:numId="18">
    <w:abstractNumId w:val="23"/>
  </w:num>
  <w:num w:numId="19">
    <w:abstractNumId w:val="4"/>
  </w:num>
  <w:num w:numId="20">
    <w:abstractNumId w:val="17"/>
  </w:num>
  <w:num w:numId="21">
    <w:abstractNumId w:val="1"/>
  </w:num>
  <w:num w:numId="22">
    <w:abstractNumId w:val="6"/>
  </w:num>
  <w:num w:numId="23">
    <w:abstractNumId w:val="2"/>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0D"/>
    <w:rsid w:val="000B4420"/>
    <w:rsid w:val="00343123"/>
    <w:rsid w:val="00347C4A"/>
    <w:rsid w:val="004445EF"/>
    <w:rsid w:val="00453B67"/>
    <w:rsid w:val="00496088"/>
    <w:rsid w:val="004F61E8"/>
    <w:rsid w:val="00694B84"/>
    <w:rsid w:val="006A68C4"/>
    <w:rsid w:val="00837582"/>
    <w:rsid w:val="009A6D26"/>
    <w:rsid w:val="00A93F05"/>
    <w:rsid w:val="00AD395B"/>
    <w:rsid w:val="00AE430D"/>
    <w:rsid w:val="00BB67EC"/>
    <w:rsid w:val="00CD6EFA"/>
    <w:rsid w:val="00E327D4"/>
    <w:rsid w:val="00EB0183"/>
    <w:rsid w:val="00F47C0A"/>
    <w:rsid w:val="00FA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4E44"/>
  <w15:chartTrackingRefBased/>
  <w15:docId w15:val="{99B93B48-80D1-4C01-BEF7-13A01239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30D"/>
    <w:pPr>
      <w:spacing w:after="0" w:line="240" w:lineRule="auto"/>
    </w:pPr>
    <w:rPr>
      <w:rFonts w:eastAsiaTheme="minorEastAsia"/>
      <w:sz w:val="24"/>
      <w:szCs w:val="24"/>
    </w:rPr>
  </w:style>
  <w:style w:type="paragraph" w:styleId="Heading1">
    <w:name w:val="heading 1"/>
    <w:basedOn w:val="Normal"/>
    <w:next w:val="Normal"/>
    <w:link w:val="Heading1Char"/>
    <w:uiPriority w:val="1"/>
    <w:qFormat/>
    <w:rsid w:val="00EB0183"/>
    <w:pPr>
      <w:keepNext/>
      <w:spacing w:line="360" w:lineRule="auto"/>
      <w:jc w:val="center"/>
      <w:outlineLvl w:val="0"/>
    </w:pPr>
    <w:rPr>
      <w:rFonts w:ascii="Arial" w:eastAsia="Times New Roman" w:hAnsi="Arial" w:cs="Arial"/>
      <w:b/>
      <w:sz w:val="36"/>
      <w:szCs w:val="32"/>
      <w:lang w:eastAsia="en-GB"/>
    </w:rPr>
  </w:style>
  <w:style w:type="paragraph" w:styleId="Heading2">
    <w:name w:val="heading 2"/>
    <w:basedOn w:val="Normal"/>
    <w:link w:val="Heading2Char"/>
    <w:uiPriority w:val="1"/>
    <w:qFormat/>
    <w:rsid w:val="00EB0183"/>
    <w:pPr>
      <w:widowControl w:val="0"/>
      <w:ind w:left="522"/>
      <w:outlineLvl w:val="1"/>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430D"/>
    <w:pPr>
      <w:widowControl w:val="0"/>
      <w:ind w:left="522"/>
    </w:pPr>
    <w:rPr>
      <w:rFonts w:ascii="Arial" w:eastAsia="Arial" w:hAnsi="Arial"/>
      <w:sz w:val="20"/>
      <w:szCs w:val="20"/>
      <w:lang w:val="en-US"/>
    </w:rPr>
  </w:style>
  <w:style w:type="character" w:customStyle="1" w:styleId="BodyTextChar">
    <w:name w:val="Body Text Char"/>
    <w:basedOn w:val="DefaultParagraphFont"/>
    <w:link w:val="BodyText"/>
    <w:uiPriority w:val="1"/>
    <w:rsid w:val="00AE430D"/>
    <w:rPr>
      <w:rFonts w:ascii="Arial" w:eastAsia="Arial" w:hAnsi="Arial"/>
      <w:sz w:val="20"/>
      <w:szCs w:val="20"/>
      <w:lang w:val="en-US"/>
    </w:rPr>
  </w:style>
  <w:style w:type="paragraph" w:styleId="NoSpacing">
    <w:name w:val="No Spacing"/>
    <w:uiPriority w:val="1"/>
    <w:qFormat/>
    <w:rsid w:val="00AE430D"/>
    <w:pPr>
      <w:spacing w:after="0" w:line="240" w:lineRule="auto"/>
    </w:pPr>
    <w:rPr>
      <w:rFonts w:eastAsiaTheme="minorEastAsia"/>
      <w:sz w:val="24"/>
      <w:szCs w:val="24"/>
    </w:rPr>
  </w:style>
  <w:style w:type="character" w:customStyle="1" w:styleId="Heading1Char">
    <w:name w:val="Heading 1 Char"/>
    <w:basedOn w:val="DefaultParagraphFont"/>
    <w:link w:val="Heading1"/>
    <w:uiPriority w:val="1"/>
    <w:rsid w:val="00EB0183"/>
    <w:rPr>
      <w:rFonts w:ascii="Arial" w:eastAsia="Times New Roman" w:hAnsi="Arial" w:cs="Arial"/>
      <w:b/>
      <w:sz w:val="36"/>
      <w:szCs w:val="32"/>
      <w:lang w:eastAsia="en-GB"/>
    </w:rPr>
  </w:style>
  <w:style w:type="character" w:customStyle="1" w:styleId="Heading2Char">
    <w:name w:val="Heading 2 Char"/>
    <w:basedOn w:val="DefaultParagraphFont"/>
    <w:link w:val="Heading2"/>
    <w:uiPriority w:val="1"/>
    <w:rsid w:val="00EB0183"/>
    <w:rPr>
      <w:rFonts w:ascii="Arial" w:eastAsia="Arial" w:hAnsi="Arial"/>
      <w:b/>
      <w:bCs/>
      <w:sz w:val="20"/>
      <w:szCs w:val="20"/>
      <w:lang w:val="en-US"/>
    </w:rPr>
  </w:style>
  <w:style w:type="paragraph" w:styleId="NormalWeb">
    <w:name w:val="Normal (Web)"/>
    <w:basedOn w:val="Normal"/>
    <w:uiPriority w:val="99"/>
    <w:unhideWhenUsed/>
    <w:rsid w:val="00EB0183"/>
    <w:pPr>
      <w:spacing w:before="100" w:beforeAutospacing="1" w:after="100" w:afterAutospacing="1"/>
    </w:pPr>
    <w:rPr>
      <w:rFonts w:ascii="Times" w:hAnsi="Times" w:cs="Times New Roman"/>
      <w:sz w:val="20"/>
      <w:szCs w:val="20"/>
    </w:rPr>
  </w:style>
  <w:style w:type="paragraph" w:styleId="ListParagraph">
    <w:name w:val="List Paragraph"/>
    <w:basedOn w:val="Normal"/>
    <w:uiPriority w:val="1"/>
    <w:qFormat/>
    <w:rsid w:val="00EB0183"/>
    <w:pPr>
      <w:ind w:left="720"/>
      <w:contextualSpacing/>
    </w:pPr>
  </w:style>
  <w:style w:type="paragraph" w:styleId="BalloonText">
    <w:name w:val="Balloon Text"/>
    <w:basedOn w:val="Normal"/>
    <w:link w:val="BalloonTextChar"/>
    <w:uiPriority w:val="99"/>
    <w:semiHidden/>
    <w:unhideWhenUsed/>
    <w:rsid w:val="00EB0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83"/>
    <w:rPr>
      <w:rFonts w:ascii="Segoe UI" w:eastAsiaTheme="minorEastAsia" w:hAnsi="Segoe UI" w:cs="Segoe UI"/>
      <w:sz w:val="18"/>
      <w:szCs w:val="18"/>
    </w:rPr>
  </w:style>
  <w:style w:type="paragraph" w:customStyle="1" w:styleId="TableParagraph">
    <w:name w:val="Table Paragraph"/>
    <w:basedOn w:val="Normal"/>
    <w:uiPriority w:val="1"/>
    <w:qFormat/>
    <w:rsid w:val="00EB0183"/>
    <w:pPr>
      <w:widowControl w:val="0"/>
    </w:pPr>
    <w:rPr>
      <w:rFonts w:eastAsiaTheme="minorHAnsi"/>
      <w:sz w:val="22"/>
      <w:szCs w:val="22"/>
      <w:lang w:val="en-US"/>
    </w:rPr>
  </w:style>
  <w:style w:type="paragraph" w:styleId="Header">
    <w:name w:val="header"/>
    <w:basedOn w:val="Normal"/>
    <w:link w:val="HeaderChar"/>
    <w:uiPriority w:val="99"/>
    <w:unhideWhenUsed/>
    <w:rsid w:val="00EB0183"/>
    <w:pPr>
      <w:widowControl w:val="0"/>
      <w:tabs>
        <w:tab w:val="center" w:pos="4513"/>
        <w:tab w:val="right" w:pos="9026"/>
      </w:tabs>
    </w:pPr>
    <w:rPr>
      <w:rFonts w:eastAsiaTheme="minorHAnsi"/>
      <w:sz w:val="22"/>
      <w:szCs w:val="22"/>
      <w:lang w:val="en-US"/>
    </w:rPr>
  </w:style>
  <w:style w:type="character" w:customStyle="1" w:styleId="HeaderChar">
    <w:name w:val="Header Char"/>
    <w:basedOn w:val="DefaultParagraphFont"/>
    <w:link w:val="Header"/>
    <w:uiPriority w:val="99"/>
    <w:rsid w:val="00EB0183"/>
    <w:rPr>
      <w:lang w:val="en-US"/>
    </w:rPr>
  </w:style>
  <w:style w:type="paragraph" w:styleId="Footer">
    <w:name w:val="footer"/>
    <w:basedOn w:val="Normal"/>
    <w:link w:val="FooterChar"/>
    <w:uiPriority w:val="99"/>
    <w:unhideWhenUsed/>
    <w:rsid w:val="00EB0183"/>
    <w:pPr>
      <w:widowControl w:val="0"/>
      <w:tabs>
        <w:tab w:val="center" w:pos="4513"/>
        <w:tab w:val="right" w:pos="9026"/>
      </w:tabs>
    </w:pPr>
    <w:rPr>
      <w:rFonts w:eastAsiaTheme="minorHAnsi"/>
      <w:sz w:val="22"/>
      <w:szCs w:val="22"/>
      <w:lang w:val="en-US"/>
    </w:rPr>
  </w:style>
  <w:style w:type="character" w:customStyle="1" w:styleId="FooterChar">
    <w:name w:val="Footer Char"/>
    <w:basedOn w:val="DefaultParagraphFont"/>
    <w:link w:val="Footer"/>
    <w:uiPriority w:val="99"/>
    <w:rsid w:val="00EB0183"/>
    <w:rPr>
      <w:lang w:val="en-US"/>
    </w:rPr>
  </w:style>
  <w:style w:type="character" w:styleId="Hyperlink">
    <w:name w:val="Hyperlink"/>
    <w:basedOn w:val="DefaultParagraphFont"/>
    <w:uiPriority w:val="99"/>
    <w:unhideWhenUsed/>
    <w:rsid w:val="00EB0183"/>
    <w:rPr>
      <w:color w:val="0563C1" w:themeColor="hyperlink"/>
      <w:u w:val="single"/>
    </w:rPr>
  </w:style>
  <w:style w:type="character" w:styleId="CommentReference">
    <w:name w:val="annotation reference"/>
    <w:basedOn w:val="DefaultParagraphFont"/>
    <w:uiPriority w:val="99"/>
    <w:semiHidden/>
    <w:unhideWhenUsed/>
    <w:rsid w:val="00EB0183"/>
    <w:rPr>
      <w:sz w:val="16"/>
      <w:szCs w:val="16"/>
    </w:rPr>
  </w:style>
  <w:style w:type="paragraph" w:styleId="CommentText">
    <w:name w:val="annotation text"/>
    <w:basedOn w:val="Normal"/>
    <w:link w:val="CommentTextChar"/>
    <w:uiPriority w:val="99"/>
    <w:semiHidden/>
    <w:unhideWhenUsed/>
    <w:rsid w:val="00EB0183"/>
    <w:pPr>
      <w:widowControl w:val="0"/>
    </w:pPr>
    <w:rPr>
      <w:rFonts w:eastAsiaTheme="minorHAnsi"/>
      <w:sz w:val="20"/>
      <w:szCs w:val="20"/>
      <w:lang w:val="en-US"/>
    </w:rPr>
  </w:style>
  <w:style w:type="character" w:customStyle="1" w:styleId="CommentTextChar">
    <w:name w:val="Comment Text Char"/>
    <w:basedOn w:val="DefaultParagraphFont"/>
    <w:link w:val="CommentText"/>
    <w:uiPriority w:val="99"/>
    <w:semiHidden/>
    <w:rsid w:val="00EB0183"/>
    <w:rPr>
      <w:sz w:val="20"/>
      <w:szCs w:val="20"/>
      <w:lang w:val="en-US"/>
    </w:rPr>
  </w:style>
  <w:style w:type="paragraph" w:styleId="CommentSubject">
    <w:name w:val="annotation subject"/>
    <w:basedOn w:val="CommentText"/>
    <w:next w:val="CommentText"/>
    <w:link w:val="CommentSubjectChar"/>
    <w:uiPriority w:val="99"/>
    <w:semiHidden/>
    <w:unhideWhenUsed/>
    <w:rsid w:val="00EB0183"/>
    <w:rPr>
      <w:b/>
      <w:bCs/>
    </w:rPr>
  </w:style>
  <w:style w:type="character" w:customStyle="1" w:styleId="CommentSubjectChar">
    <w:name w:val="Comment Subject Char"/>
    <w:basedOn w:val="CommentTextChar"/>
    <w:link w:val="CommentSubject"/>
    <w:uiPriority w:val="99"/>
    <w:semiHidden/>
    <w:rsid w:val="00EB0183"/>
    <w:rPr>
      <w:b/>
      <w:bCs/>
      <w:sz w:val="20"/>
      <w:szCs w:val="20"/>
      <w:lang w:val="en-US"/>
    </w:rPr>
  </w:style>
  <w:style w:type="paragraph" w:styleId="PlainText">
    <w:name w:val="Plain Text"/>
    <w:basedOn w:val="Normal"/>
    <w:link w:val="PlainTextChar"/>
    <w:rsid w:val="00EB0183"/>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B0183"/>
    <w:rPr>
      <w:rFonts w:ascii="Courier New" w:eastAsia="Times New Roman" w:hAnsi="Courier New" w:cs="Times New Roman"/>
      <w:sz w:val="20"/>
      <w:szCs w:val="20"/>
    </w:rPr>
  </w:style>
  <w:style w:type="paragraph" w:customStyle="1" w:styleId="Default">
    <w:name w:val="Default"/>
    <w:rsid w:val="00EB018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EB0183"/>
    <w:rPr>
      <w:color w:val="954F72" w:themeColor="followedHyperlink"/>
      <w:u w:val="single"/>
    </w:rPr>
  </w:style>
  <w:style w:type="character" w:styleId="UnresolvedMention">
    <w:name w:val="Unresolved Mention"/>
    <w:basedOn w:val="DefaultParagraphFont"/>
    <w:uiPriority w:val="99"/>
    <w:semiHidden/>
    <w:unhideWhenUsed/>
    <w:rsid w:val="00EB0183"/>
    <w:rPr>
      <w:color w:val="605E5C"/>
      <w:shd w:val="clear" w:color="auto" w:fill="E1DFDD"/>
    </w:rPr>
  </w:style>
  <w:style w:type="numbering" w:customStyle="1" w:styleId="NoList1">
    <w:name w:val="No List1"/>
    <w:next w:val="NoList"/>
    <w:uiPriority w:val="99"/>
    <w:semiHidden/>
    <w:unhideWhenUsed/>
    <w:rsid w:val="00EB0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ingels.wokingham.sch.uk/282/admission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ssions@waingels.woking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Farley</dc:creator>
  <cp:keywords/>
  <dc:description/>
  <cp:lastModifiedBy>D Farley</cp:lastModifiedBy>
  <cp:revision>2</cp:revision>
  <cp:lastPrinted>2022-10-20T11:04:00Z</cp:lastPrinted>
  <dcterms:created xsi:type="dcterms:W3CDTF">2022-10-20T11:05:00Z</dcterms:created>
  <dcterms:modified xsi:type="dcterms:W3CDTF">2022-10-20T11:05:00Z</dcterms:modified>
</cp:coreProperties>
</file>